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34" w:rsidRDefault="00722934" w:rsidP="0072293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 субординированной облигации российского эмитента</w:t>
      </w:r>
      <w:r>
        <w:rPr>
          <w:rStyle w:val="a3"/>
          <w:rFonts w:ascii="Times New Roman" w:hAnsi="Times New Roman" w:cs="Times New Roman"/>
          <w:bCs/>
          <w:sz w:val="24"/>
          <w:szCs w:val="24"/>
        </w:rPr>
        <w:t xml:space="preserve">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российского эмитента</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предназначена для квалифицированных инвесторов</w:t>
      </w:r>
    </w:p>
    <w:p w:rsidR="00722934" w:rsidRDefault="00722934" w:rsidP="0072293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субординированной облигации.</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российского эмитента</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Pr>
          <w:rFonts w:ascii="Times New Roman" w:hAnsi="Times New Roman" w:cs="Times New Roman"/>
          <w:sz w:val="24"/>
          <w:szCs w:val="24"/>
        </w:rPr>
        <w:t>в случае снижения</w:t>
      </w:r>
      <w:r>
        <w:rPr>
          <w:rFonts w:ascii="Times New Roman" w:hAnsi="Times New Roman" w:cs="Times New Roman"/>
          <w:color w:val="FF0000"/>
          <w:sz w:val="24"/>
          <w:szCs w:val="24"/>
        </w:rPr>
        <w:t xml:space="preserve"> </w:t>
      </w:r>
      <w:r>
        <w:rPr>
          <w:rFonts w:ascii="Times New Roman" w:hAnsi="Times New Roman" w:cs="Times New Roman"/>
          <w:sz w:val="24"/>
          <w:szCs w:val="24"/>
        </w:rPr>
        <w:t>норматива достаточности собственных средств ниже уровня, определенного Банком России</w:t>
      </w:r>
      <w:r>
        <w:rPr>
          <w:rStyle w:val="a3"/>
          <w:rFonts w:ascii="Times New Roman" w:hAnsi="Times New Roman" w:cs="Times New Roman"/>
          <w:sz w:val="24"/>
          <w:szCs w:val="24"/>
        </w:rPr>
        <w:footnoteReference w:id="1"/>
      </w:r>
      <w:r>
        <w:rPr>
          <w:rFonts w:ascii="Times New Roman" w:hAnsi="Times New Roman" w:cs="Times New Roman"/>
          <w:sz w:val="24"/>
          <w:szCs w:val="24"/>
        </w:rPr>
        <w:t>, Также может быть предусмотрено право эмитента в одностороннем порядке осуществить мену или конвертацию  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Pr>
          <w:rFonts w:ascii="Times New Roman" w:hAnsi="Times New Roman" w:cs="Times New Roman"/>
          <w:bCs/>
          <w:sz w:val="24"/>
          <w:szCs w:val="24"/>
        </w:rPr>
        <w:t xml:space="preserve">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lastRenderedPageBreak/>
        <w:t xml:space="preserve">Все условия погашения и выплат купонов по </w:t>
      </w:r>
      <w:r>
        <w:rPr>
          <w:rFonts w:ascii="Times New Roman" w:hAnsi="Times New Roman" w:cs="Times New Roman"/>
          <w:bCs/>
          <w:sz w:val="24"/>
          <w:szCs w:val="24"/>
        </w:rPr>
        <w:t xml:space="preserve">субординированным облигациям </w:t>
      </w:r>
      <w:r>
        <w:rPr>
          <w:rFonts w:ascii="Times New Roman" w:hAnsi="Times New Roman" w:cs="Times New Roman"/>
          <w:sz w:val="24"/>
          <w:szCs w:val="24"/>
        </w:rPr>
        <w:t xml:space="preserve">определены в эмиссионной документации.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Каждая с</w:t>
      </w:r>
      <w:r>
        <w:rPr>
          <w:rFonts w:ascii="Times New Roman" w:hAnsi="Times New Roman" w:cs="Times New Roman"/>
          <w:bCs/>
          <w:sz w:val="24"/>
          <w:szCs w:val="24"/>
        </w:rPr>
        <w:t>убординированная</w:t>
      </w:r>
      <w:r>
        <w:rPr>
          <w:rFonts w:ascii="Times New Roman" w:hAnsi="Times New Roman" w:cs="Times New Roman"/>
          <w:sz w:val="24"/>
          <w:szCs w:val="24"/>
        </w:rPr>
        <w:t xml:space="preserve"> облигация одного выпуска имеет одинаковый объем прав.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имеет номинальную стоимость не менее 10 миллионов рублей (за исключением выпущенных до 28.</w:t>
      </w:r>
      <w:r>
        <w:rPr>
          <w:rFonts w:ascii="Times New Roman" w:hAnsi="Times New Roman" w:cs="Times New Roman"/>
          <w:sz w:val="24"/>
          <w:szCs w:val="24"/>
          <w:lang w:eastAsia="zh-CN"/>
        </w:rPr>
        <w:t xml:space="preserve">12.2018 года) и </w:t>
      </w:r>
      <w:r>
        <w:rPr>
          <w:rFonts w:ascii="Times New Roman" w:hAnsi="Times New Roman" w:cs="Times New Roman"/>
          <w:sz w:val="24"/>
          <w:szCs w:val="24"/>
        </w:rPr>
        <w:t>срок погашения не менее пяти лет (либо не имеет срока погашения).</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Субординированные облигации</w:t>
      </w:r>
      <w:r>
        <w:rPr>
          <w:rFonts w:ascii="Times New Roman" w:hAnsi="Times New Roman" w:cs="Times New Roman"/>
          <w:sz w:val="24"/>
          <w:szCs w:val="24"/>
        </w:rPr>
        <w:t xml:space="preserve">,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общества.</w:t>
      </w:r>
      <w:r>
        <w:rPr>
          <w:rFonts w:ascii="Times New Roman" w:eastAsia="Calibri" w:hAnsi="Times New Roman" w:cs="Times New Roman"/>
          <w:color w:val="FF0000"/>
          <w:sz w:val="24"/>
          <w:szCs w:val="24"/>
        </w:rPr>
        <w:t xml:space="preserve"> </w:t>
      </w:r>
      <w:r>
        <w:rPr>
          <w:rFonts w:ascii="Times New Roman" w:hAnsi="Times New Roman" w:cs="Times New Roman"/>
          <w:sz w:val="24"/>
          <w:szCs w:val="24"/>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Владельцы субординированных облигаций участвуют в распределении имущества перед владельцами привилегированных и обыкновенных акций.</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722934" w:rsidRPr="00720691"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субординированной облигации) - </w:t>
      </w:r>
      <w:r>
        <w:rPr>
          <w:rFonts w:ascii="Times New Roman" w:hAnsi="Times New Roman" w:cs="Times New Roman"/>
          <w:sz w:val="24"/>
          <w:szCs w:val="24"/>
        </w:rPr>
        <w:t xml:space="preserve">стоимость принадлежащей Вам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может как расти, так и снижаться, и ее рост в прошлом не означает ее роста в будущем. Изменение цены на </w:t>
      </w:r>
      <w:r>
        <w:rPr>
          <w:rFonts w:ascii="Times New Roman" w:hAnsi="Times New Roman" w:cs="Times New Roman"/>
          <w:bCs/>
          <w:sz w:val="24"/>
          <w:szCs w:val="24"/>
        </w:rPr>
        <w:t xml:space="preserve">субординированные облигации </w:t>
      </w:r>
      <w:r>
        <w:rPr>
          <w:rFonts w:ascii="Times New Roman" w:hAnsi="Times New Roman" w:cs="Times New Roman"/>
          <w:sz w:val="24"/>
          <w:szCs w:val="24"/>
        </w:rPr>
        <w:t xml:space="preserve">связано, прежде всего, с изменением процентных ставок на финансовом рынке. Как правило,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снижается, если процентные ставки на рынке растут, и наоборот -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растет, если процентные ставки снижаются. Также изменение рыночной стоимости </w:t>
      </w:r>
      <w:r>
        <w:rPr>
          <w:rFonts w:ascii="Times New Roman" w:hAnsi="Times New Roman" w:cs="Times New Roman"/>
          <w:bCs/>
          <w:sz w:val="24"/>
          <w:szCs w:val="24"/>
        </w:rPr>
        <w:t xml:space="preserve">субординированных облигаций </w:t>
      </w:r>
      <w:r>
        <w:rPr>
          <w:rFonts w:ascii="Times New Roman" w:hAnsi="Times New Roman" w:cs="Times New Roman"/>
          <w:sz w:val="24"/>
          <w:szCs w:val="24"/>
        </w:rPr>
        <w:t xml:space="preserve">может быть связано с изменением восприятия рынком финансового состояния и платежеспособности кредитной организации - эмитента </w:t>
      </w:r>
      <w:r>
        <w:rPr>
          <w:rFonts w:ascii="Times New Roman" w:hAnsi="Times New Roman" w:cs="Times New Roman"/>
          <w:bCs/>
          <w:sz w:val="24"/>
          <w:szCs w:val="24"/>
        </w:rPr>
        <w:t xml:space="preserve">субординированной </w:t>
      </w:r>
      <w:r>
        <w:rPr>
          <w:rFonts w:ascii="Times New Roman" w:hAnsi="Times New Roman" w:cs="Times New Roman"/>
          <w:sz w:val="24"/>
          <w:szCs w:val="24"/>
        </w:rPr>
        <w:t xml:space="preserve">облигации, в том числе с изменением кредитного рейтинга эмитента (конкретного выпуска облигаций), корпоративными событиями </w:t>
      </w:r>
      <w:r>
        <w:rPr>
          <w:rFonts w:ascii="Times New Roman" w:eastAsia="Calibri" w:hAnsi="Times New Roman" w:cs="Times New Roman"/>
          <w:bCs/>
          <w:sz w:val="24"/>
          <w:szCs w:val="24"/>
        </w:rPr>
        <w:t>и другими обстоятельствами</w:t>
      </w:r>
      <w:r>
        <w:rPr>
          <w:rFonts w:ascii="Times New Roman" w:hAnsi="Times New Roman" w:cs="Times New Roman"/>
          <w:sz w:val="24"/>
          <w:szCs w:val="24"/>
        </w:rPr>
        <w:t xml:space="preserve">.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w:t>
      </w:r>
      <w:r>
        <w:rPr>
          <w:rFonts w:ascii="Times New Roman" w:hAnsi="Times New Roman" w:cs="Times New Roman"/>
          <w:bCs/>
          <w:sz w:val="24"/>
          <w:szCs w:val="24"/>
        </w:rPr>
        <w:t xml:space="preserve">субординированную облигацию </w:t>
      </w:r>
      <w:r>
        <w:rPr>
          <w:rFonts w:ascii="Times New Roman" w:eastAsia="Calibri" w:hAnsi="Times New Roman" w:cs="Times New Roman"/>
          <w:bCs/>
          <w:sz w:val="24"/>
          <w:szCs w:val="24"/>
        </w:rPr>
        <w:t>в любой момент времени без существенного снижения ее стоимости, зависит от спроса и предложения на рынке. С</w:t>
      </w:r>
      <w:r>
        <w:rPr>
          <w:rFonts w:ascii="Times New Roman" w:hAnsi="Times New Roman" w:cs="Times New Roman"/>
          <w:bCs/>
          <w:sz w:val="24"/>
          <w:szCs w:val="24"/>
        </w:rPr>
        <w:t xml:space="preserve">убординированные облигации </w:t>
      </w:r>
      <w:r>
        <w:rPr>
          <w:rFonts w:ascii="Times New Roman" w:eastAsia="Times New Roman" w:hAnsi="Times New Roman" w:cs="Times New Roman"/>
          <w:sz w:val="24"/>
          <w:szCs w:val="24"/>
        </w:rPr>
        <w:t>могут иметь низкую ликвидность, то есть из-за специфики инструмента и повышенных требований к инвесторам бывает сложно найти покупателя</w:t>
      </w:r>
      <w:r>
        <w:rPr>
          <w:rFonts w:ascii="Times New Roman" w:eastAsia="Calibri" w:hAnsi="Times New Roman" w:cs="Times New Roman"/>
          <w:bCs/>
          <w:sz w:val="24"/>
          <w:szCs w:val="24"/>
        </w:rPr>
        <w:t>. С</w:t>
      </w:r>
      <w:r>
        <w:rPr>
          <w:rFonts w:ascii="Times New Roman" w:hAnsi="Times New Roman" w:cs="Times New Roman"/>
          <w:bCs/>
          <w:sz w:val="24"/>
          <w:szCs w:val="24"/>
        </w:rPr>
        <w:t xml:space="preserve">убординированные облигации могут </w:t>
      </w:r>
      <w:r>
        <w:rPr>
          <w:rFonts w:ascii="Times New Roman" w:eastAsia="Calibri" w:hAnsi="Times New Roman" w:cs="Times New Roman"/>
          <w:bCs/>
          <w:sz w:val="24"/>
          <w:szCs w:val="24"/>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Pr>
          <w:rFonts w:ascii="Times New Roman" w:hAnsi="Times New Roman" w:cs="Times New Roman"/>
          <w:sz w:val="24"/>
          <w:szCs w:val="24"/>
        </w:rPr>
        <w:t xml:space="preserve">кредитного рейтинга эмитента, о неустойчивом финансовом положении, </w:t>
      </w:r>
      <w:r>
        <w:rPr>
          <w:rFonts w:ascii="Times New Roman" w:eastAsia="Calibri" w:hAnsi="Times New Roman" w:cs="Times New Roman"/>
          <w:bCs/>
          <w:sz w:val="24"/>
          <w:szCs w:val="24"/>
        </w:rPr>
        <w:t xml:space="preserve">негативные корпоративные события, </w:t>
      </w:r>
      <w:r>
        <w:rPr>
          <w:rFonts w:ascii="Times New Roman" w:hAnsi="Times New Roman" w:cs="Times New Roman"/>
          <w:sz w:val="24"/>
          <w:szCs w:val="24"/>
        </w:rPr>
        <w:t xml:space="preserve">снижение доверия к эмитенту, потеря репутации </w:t>
      </w:r>
      <w:r>
        <w:rPr>
          <w:rFonts w:ascii="Times New Roman" w:eastAsia="Calibri" w:hAnsi="Times New Roman" w:cs="Times New Roman"/>
          <w:bCs/>
          <w:sz w:val="24"/>
          <w:szCs w:val="24"/>
        </w:rPr>
        <w:t>и другие обстоятельства.</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сумму погашения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w:t>
      </w:r>
      <w:r>
        <w:rPr>
          <w:rFonts w:ascii="Times New Roman" w:eastAsia="Calibri" w:hAnsi="Times New Roman" w:cs="Times New Roman"/>
          <w:bCs/>
          <w:sz w:val="24"/>
          <w:szCs w:val="24"/>
        </w:rPr>
        <w:t>с</w:t>
      </w:r>
      <w:r>
        <w:rPr>
          <w:rFonts w:ascii="Times New Roman" w:hAnsi="Times New Roman" w:cs="Times New Roman"/>
          <w:bCs/>
          <w:sz w:val="24"/>
          <w:szCs w:val="24"/>
        </w:rPr>
        <w:t xml:space="preserve">убординированных облигаций </w:t>
      </w:r>
      <w:r>
        <w:rPr>
          <w:rFonts w:ascii="Times New Roman" w:eastAsia="Calibri" w:hAnsi="Times New Roman" w:cs="Times New Roman"/>
          <w:sz w:val="24"/>
          <w:szCs w:val="24"/>
        </w:rPr>
        <w:t xml:space="preserve">перед владельцами привилегированных и обыкновенных акций, имущества может быть недостаточно для выплат по субординированным </w:t>
      </w:r>
      <w:r>
        <w:rPr>
          <w:rFonts w:ascii="Times New Roman" w:eastAsia="Calibri" w:hAnsi="Times New Roman" w:cs="Times New Roman"/>
          <w:sz w:val="24"/>
          <w:szCs w:val="24"/>
        </w:rPr>
        <w:lastRenderedPageBreak/>
        <w:t xml:space="preserve">облигациям. В результате </w:t>
      </w:r>
      <w:r>
        <w:rPr>
          <w:rFonts w:ascii="Times New Roman" w:eastAsia="Calibri" w:hAnsi="Times New Roman" w:cs="Times New Roman"/>
          <w:bCs/>
          <w:sz w:val="24"/>
          <w:szCs w:val="24"/>
        </w:rPr>
        <w:t>Вы можете потерять все свои вложения в с</w:t>
      </w:r>
      <w:r>
        <w:rPr>
          <w:rFonts w:ascii="Times New Roman" w:hAnsi="Times New Roman" w:cs="Times New Roman"/>
          <w:bCs/>
          <w:sz w:val="24"/>
          <w:szCs w:val="24"/>
        </w:rPr>
        <w:t>убординированные облигации</w:t>
      </w:r>
      <w:r>
        <w:rPr>
          <w:rFonts w:ascii="Times New Roman" w:eastAsia="Calibri" w:hAnsi="Times New Roman" w:cs="Times New Roman"/>
          <w:bCs/>
          <w:sz w:val="24"/>
          <w:szCs w:val="24"/>
        </w:rPr>
        <w:t>.</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Способность эмитента в полном объеме выполнять свои обязательства по субординированным облигациям подтверждается, например, высоким кредитным рейтингом 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субординированным облигациям российских эмитентов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roofErr w:type="gramStart"/>
      <w:r>
        <w:rPr>
          <w:rFonts w:ascii="Times New Roman" w:hAnsi="Times New Roman" w:cs="Times New Roman"/>
          <w:sz w:val="24"/>
          <w:szCs w:val="24"/>
        </w:rPr>
        <w:t>При покупке</w:t>
      </w:r>
      <w:proofErr w:type="gramEnd"/>
      <w:r>
        <w:rPr>
          <w:rFonts w:ascii="Times New Roman" w:hAnsi="Times New Roman" w:cs="Times New Roman"/>
          <w:sz w:val="24"/>
          <w:szCs w:val="24"/>
        </w:rPr>
        <w:t xml:space="preserve">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722934" w:rsidRDefault="00722934" w:rsidP="0072293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722934" w:rsidRDefault="00722934" w:rsidP="00722934">
      <w:pPr>
        <w:spacing w:after="0" w:line="360" w:lineRule="auto"/>
        <w:ind w:firstLine="567"/>
        <w:jc w:val="both"/>
        <w:rPr>
          <w:rFonts w:ascii="Times New Roman" w:hAnsi="Times New Roman" w:cs="Times New Roman"/>
          <w:sz w:val="24"/>
          <w:szCs w:val="24"/>
        </w:rPr>
      </w:pPr>
    </w:p>
    <w:p w:rsidR="00410E7A" w:rsidRDefault="00410E7A">
      <w:bookmarkStart w:id="0" w:name="_GoBack"/>
      <w:bookmarkEnd w:id="0"/>
    </w:p>
    <w:sectPr w:rsidR="00410E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60" w:rsidRDefault="009E7960" w:rsidP="00722934">
      <w:pPr>
        <w:spacing w:after="0" w:line="240" w:lineRule="auto"/>
      </w:pPr>
      <w:r>
        <w:separator/>
      </w:r>
    </w:p>
  </w:endnote>
  <w:endnote w:type="continuationSeparator" w:id="0">
    <w:p w:rsidR="009E7960" w:rsidRDefault="009E7960" w:rsidP="0072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60" w:rsidRDefault="009E7960" w:rsidP="00722934">
      <w:pPr>
        <w:spacing w:after="0" w:line="240" w:lineRule="auto"/>
      </w:pPr>
      <w:r>
        <w:separator/>
      </w:r>
    </w:p>
  </w:footnote>
  <w:footnote w:type="continuationSeparator" w:id="0">
    <w:p w:rsidR="009E7960" w:rsidRDefault="009E7960" w:rsidP="00722934">
      <w:pPr>
        <w:spacing w:after="0" w:line="240" w:lineRule="auto"/>
      </w:pPr>
      <w:r>
        <w:continuationSeparator/>
      </w:r>
    </w:p>
  </w:footnote>
  <w:footnote w:id="1">
    <w:p w:rsidR="00722934" w:rsidRDefault="00722934" w:rsidP="00722934">
      <w:pPr>
        <w:autoSpaceDE w:val="0"/>
        <w:autoSpaceDN w:val="0"/>
        <w:adjustRightInd w:val="0"/>
        <w:spacing w:after="0" w:line="240" w:lineRule="auto"/>
        <w:jc w:val="both"/>
      </w:pPr>
      <w:r>
        <w:rPr>
          <w:rStyle w:val="a3"/>
        </w:rPr>
        <w:footnoteRef/>
      </w:r>
      <w:r>
        <w:t xml:space="preserve"> </w:t>
      </w:r>
      <w:r>
        <w:rPr>
          <w:rFonts w:ascii="Times New Roman" w:hAnsi="Times New Roman" w:cs="Times New Roman"/>
        </w:rPr>
        <w:t>Федеральный закон от 10.07.2002 № 86-ФЗ «О Центральном банке Российской Федерации (Банке России)», ст.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4"/>
    <w:rsid w:val="00410E7A"/>
    <w:rsid w:val="00722934"/>
    <w:rsid w:val="009E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0B8D-4496-4BA0-A395-8C3A1218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722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2024-05-28T10:01:00Z</dcterms:created>
  <dcterms:modified xsi:type="dcterms:W3CDTF">2024-05-28T10:01:00Z</dcterms:modified>
</cp:coreProperties>
</file>